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985"/>
        <w:gridCol w:w="449"/>
        <w:gridCol w:w="419"/>
        <w:gridCol w:w="549"/>
        <w:gridCol w:w="232"/>
        <w:gridCol w:w="74"/>
        <w:gridCol w:w="403"/>
        <w:gridCol w:w="283"/>
        <w:gridCol w:w="567"/>
        <w:gridCol w:w="709"/>
        <w:gridCol w:w="144"/>
        <w:gridCol w:w="153"/>
        <w:gridCol w:w="372"/>
        <w:gridCol w:w="467"/>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exact"/>
          <w:jc w:val="center"/>
        </w:trPr>
        <w:tc>
          <w:tcPr>
            <w:tcW w:w="1444" w:type="dxa"/>
            <w:gridSpan w:val="3"/>
            <w:vAlign w:val="center"/>
          </w:tcPr>
          <w:p w14:paraId="478FB28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6EC0EDDC">
            <w:pPr>
              <w:spacing w:line="300" w:lineRule="exact"/>
              <w:rPr>
                <w:rFonts w:hint="eastAsia" w:ascii="华文中宋" w:hAnsi="华文中宋" w:eastAsia="华文中宋" w:cs="Times New Roman"/>
                <w:sz w:val="21"/>
                <w:szCs w:val="21"/>
              </w:rPr>
            </w:pPr>
            <w:r>
              <w:rPr>
                <w:rFonts w:hint="eastAsia" w:ascii="仿宋" w:hAnsi="仿宋" w:eastAsia="仿宋" w:cs="仿宋"/>
                <w:color w:val="000000"/>
                <w:sz w:val="21"/>
                <w:szCs w:val="21"/>
              </w:rPr>
              <w:t>老骥伏枥姿犹健  笔底烟霞染千峰</w:t>
            </w:r>
          </w:p>
        </w:tc>
        <w:tc>
          <w:tcPr>
            <w:tcW w:w="1962" w:type="dxa"/>
            <w:gridSpan w:val="4"/>
            <w:vAlign w:val="center"/>
          </w:tcPr>
          <w:p w14:paraId="5D297B7C">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6"/>
            <w:vAlign w:val="center"/>
          </w:tcPr>
          <w:p w14:paraId="032A9FD8">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 w:val="21"/>
                <w:szCs w:val="21"/>
                <w:lang w:eastAsia="zh-CN"/>
              </w:rPr>
              <w:t>通讯</w:t>
            </w:r>
            <w:r>
              <w:rPr>
                <w:rFonts w:hint="eastAsia" w:ascii="仿宋" w:hAnsi="仿宋" w:eastAsia="仿宋" w:cs="Times New Roman"/>
                <w:color w:val="000000"/>
                <w:sz w:val="21"/>
                <w:szCs w:val="21"/>
              </w:rPr>
              <w:t>（报刊）</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444" w:type="dxa"/>
            <w:gridSpan w:val="3"/>
            <w:vAlign w:val="center"/>
          </w:tcPr>
          <w:p w14:paraId="3FF5D954">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9"/>
            <w:vAlign w:val="center"/>
          </w:tcPr>
          <w:p w14:paraId="559F53AA">
            <w:pPr>
              <w:spacing w:line="300" w:lineRule="exact"/>
              <w:jc w:val="both"/>
              <w:rPr>
                <w:rFonts w:hint="eastAsia" w:ascii="华文中宋" w:hAnsi="华文中宋" w:eastAsia="华文中宋" w:cs="Times New Roman"/>
                <w:color w:val="000000"/>
                <w:sz w:val="21"/>
                <w:szCs w:val="21"/>
              </w:rPr>
            </w:pPr>
            <w:r>
              <w:rPr>
                <w:rFonts w:hint="eastAsia" w:ascii="仿宋" w:hAnsi="仿宋" w:eastAsia="仿宋" w:cs="仿宋"/>
                <w:color w:val="000000"/>
                <w:sz w:val="21"/>
                <w:szCs w:val="21"/>
                <w:lang w:val="en-US" w:eastAsia="zh-CN"/>
              </w:rPr>
              <w:t>2655</w:t>
            </w:r>
            <w:r>
              <w:rPr>
                <w:rFonts w:hint="eastAsia" w:ascii="仿宋" w:hAnsi="仿宋" w:eastAsia="仿宋" w:cs="仿宋"/>
                <w:color w:val="000000"/>
                <w:sz w:val="21"/>
                <w:szCs w:val="21"/>
              </w:rPr>
              <w:t>字</w:t>
            </w:r>
          </w:p>
        </w:tc>
        <w:tc>
          <w:tcPr>
            <w:tcW w:w="1253" w:type="dxa"/>
            <w:gridSpan w:val="3"/>
            <w:vAlign w:val="center"/>
          </w:tcPr>
          <w:p w14:paraId="5C598D07">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spacing w:line="300" w:lineRule="exact"/>
              <w:rPr>
                <w:rFonts w:hint="eastAsia" w:ascii="仿宋_GB2312" w:hAnsi="仿宋" w:eastAsia="仿宋_GB2312" w:cs="Times New Roman"/>
                <w:color w:val="000000"/>
                <w:szCs w:val="21"/>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4" w:type="dxa"/>
            <w:gridSpan w:val="3"/>
            <w:vAlign w:val="center"/>
          </w:tcPr>
          <w:p w14:paraId="6F243A8B">
            <w:pPr>
              <w:spacing w:line="30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spacing w:line="30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10"/>
            <w:vAlign w:val="center"/>
          </w:tcPr>
          <w:p w14:paraId="72BDDB14">
            <w:pPr>
              <w:jc w:val="left"/>
              <w:rPr>
                <w:rFonts w:hint="eastAsia" w:ascii="仿宋_GB2312" w:hAnsi="华文中宋" w:eastAsia="仿宋_GB2312" w:cs="Times New Roman"/>
                <w:color w:val="000000"/>
                <w:szCs w:val="21"/>
                <w:lang w:eastAsia="zh-CN"/>
              </w:rPr>
            </w:pPr>
            <w:r>
              <w:rPr>
                <w:rFonts w:hint="eastAsia" w:ascii="仿宋" w:hAnsi="仿宋" w:eastAsia="仿宋" w:cs="仿宋"/>
                <w:b w:val="0"/>
                <w:bCs w:val="0"/>
                <w:sz w:val="21"/>
                <w:szCs w:val="21"/>
              </w:rPr>
              <w:t>刘翔</w:t>
            </w:r>
          </w:p>
        </w:tc>
        <w:tc>
          <w:tcPr>
            <w:tcW w:w="850" w:type="dxa"/>
            <w:gridSpan w:val="2"/>
            <w:vAlign w:val="center"/>
          </w:tcPr>
          <w:p w14:paraId="4AEC072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402" w:type="dxa"/>
            <w:gridSpan w:val="7"/>
            <w:vAlign w:val="center"/>
          </w:tcPr>
          <w:p w14:paraId="5BDA4930">
            <w:pPr>
              <w:spacing w:line="300" w:lineRule="exact"/>
              <w:rPr>
                <w:rFonts w:hint="eastAsia" w:ascii="仿宋" w:hAnsi="仿宋" w:eastAsia="仿宋" w:cs="Times New Roman"/>
                <w:color w:val="000000"/>
                <w:w w:val="95"/>
                <w:szCs w:val="21"/>
              </w:rPr>
            </w:pPr>
            <w:r>
              <w:rPr>
                <w:rFonts w:hint="eastAsia" w:ascii="仿宋" w:hAnsi="仿宋" w:eastAsia="仿宋" w:cs="Times New Roman"/>
                <w:color w:val="000000"/>
                <w:w w:val="95"/>
                <w:sz w:val="21"/>
                <w:szCs w:val="21"/>
              </w:rPr>
              <w:t>郑睦华、张丽琴</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444" w:type="dxa"/>
            <w:gridSpan w:val="3"/>
            <w:vAlign w:val="center"/>
          </w:tcPr>
          <w:p w14:paraId="2C79F53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spacing w:line="300" w:lineRule="exact"/>
              <w:rPr>
                <w:rFonts w:hint="eastAsia" w:ascii="仿宋" w:hAnsi="仿宋" w:eastAsia="仿宋" w:cs="Times New Roman"/>
                <w:color w:val="000000"/>
                <w:szCs w:val="21"/>
                <w:lang w:eastAsia="zh-CN"/>
              </w:rPr>
            </w:pPr>
            <w:r>
              <w:rPr>
                <w:rFonts w:hint="eastAsia" w:ascii="仿宋" w:hAnsi="仿宋" w:eastAsia="仿宋" w:cs="Times New Roman"/>
                <w:color w:val="000000"/>
                <w:sz w:val="21"/>
                <w:szCs w:val="21"/>
                <w:lang w:eastAsia="zh-CN"/>
              </w:rPr>
              <w:t>鹰潭市融媒体中心</w:t>
            </w:r>
          </w:p>
        </w:tc>
        <w:tc>
          <w:tcPr>
            <w:tcW w:w="3114" w:type="dxa"/>
            <w:gridSpan w:val="9"/>
            <w:vAlign w:val="center"/>
          </w:tcPr>
          <w:p w14:paraId="1DA6764D">
            <w:pPr>
              <w:spacing w:line="300" w:lineRule="exact"/>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发布端/账号/媒体名称</w:t>
            </w:r>
          </w:p>
        </w:tc>
        <w:tc>
          <w:tcPr>
            <w:tcW w:w="2396" w:type="dxa"/>
            <w:gridSpan w:val="4"/>
            <w:vAlign w:val="center"/>
          </w:tcPr>
          <w:p w14:paraId="161526D7">
            <w:pPr>
              <w:spacing w:line="300" w:lineRule="exact"/>
              <w:jc w:val="both"/>
              <w:rPr>
                <w:rFonts w:hint="eastAsia" w:ascii="仿宋_GB2312" w:hAnsi="仿宋" w:eastAsia="仿宋_GB2312" w:cs="Times New Roman"/>
                <w:color w:val="000000"/>
                <w:sz w:val="18"/>
                <w:szCs w:val="18"/>
                <w:highlight w:val="green"/>
                <w:lang w:eastAsia="zh-CN"/>
              </w:rPr>
            </w:pPr>
            <w:r>
              <w:rPr>
                <w:rFonts w:hint="eastAsia" w:ascii="仿宋_GB2312" w:hAnsi="仿宋" w:eastAsia="仿宋_GB2312" w:cs="Times New Roman"/>
                <w:color w:val="000000"/>
                <w:sz w:val="21"/>
                <w:szCs w:val="21"/>
                <w:highlight w:val="none"/>
                <w:lang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exact"/>
          <w:jc w:val="center"/>
        </w:trPr>
        <w:tc>
          <w:tcPr>
            <w:tcW w:w="2268" w:type="dxa"/>
            <w:gridSpan w:val="6"/>
            <w:vAlign w:val="center"/>
          </w:tcPr>
          <w:p w14:paraId="7546E08B">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3961" w:type="dxa"/>
            <w:gridSpan w:val="9"/>
            <w:vAlign w:val="center"/>
          </w:tcPr>
          <w:p w14:paraId="3B213BAB">
            <w:pPr>
              <w:spacing w:line="300" w:lineRule="exact"/>
              <w:rPr>
                <w:rFonts w:hint="default" w:ascii="仿宋" w:hAnsi="仿宋" w:eastAsia="仿宋" w:cs="Times New Roman"/>
                <w:color w:val="000000"/>
                <w:szCs w:val="21"/>
                <w:lang w:val="en-US"/>
              </w:rPr>
            </w:pPr>
            <w:r>
              <w:rPr>
                <w:rFonts w:hint="eastAsia" w:ascii="仿宋_GB2312" w:hAnsi="仿宋" w:eastAsia="仿宋_GB2312" w:cs="Times New Roman"/>
                <w:color w:val="000000"/>
                <w:sz w:val="21"/>
                <w:szCs w:val="21"/>
                <w:highlight w:val="none"/>
                <w:lang w:val="en-US" w:eastAsia="zh-CN"/>
              </w:rPr>
              <w:t>4版</w:t>
            </w:r>
          </w:p>
        </w:tc>
        <w:tc>
          <w:tcPr>
            <w:tcW w:w="1378" w:type="dxa"/>
            <w:gridSpan w:val="4"/>
            <w:vAlign w:val="center"/>
          </w:tcPr>
          <w:p w14:paraId="04FADCAD">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2024" w:type="dxa"/>
            <w:gridSpan w:val="3"/>
            <w:vAlign w:val="center"/>
          </w:tcPr>
          <w:p w14:paraId="26F08C40">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 w:val="21"/>
                <w:szCs w:val="21"/>
              </w:rPr>
              <w:t>2025年</w:t>
            </w:r>
            <w:r>
              <w:rPr>
                <w:rFonts w:hint="eastAsia" w:ascii="仿宋" w:hAnsi="仿宋" w:eastAsia="仿宋" w:cs="Times New Roman"/>
                <w:color w:val="000000"/>
                <w:sz w:val="21"/>
                <w:szCs w:val="21"/>
                <w:lang w:val="en-US" w:eastAsia="zh-CN"/>
              </w:rPr>
              <w:t>11</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14</w:t>
            </w:r>
            <w:r>
              <w:rPr>
                <w:rFonts w:hint="eastAsia" w:ascii="仿宋" w:hAnsi="仿宋" w:eastAsia="仿宋" w:cs="Times New Roman"/>
                <w:color w:val="000000"/>
                <w:sz w:val="21"/>
                <w:szCs w:val="21"/>
              </w:rPr>
              <w:t xml:space="preserve"> 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1444" w:type="dxa"/>
            <w:gridSpan w:val="3"/>
            <w:vAlign w:val="center"/>
          </w:tcPr>
          <w:p w14:paraId="6D8AEC4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5791" w:type="dxa"/>
            <w:gridSpan w:val="15"/>
            <w:vAlign w:val="center"/>
          </w:tcPr>
          <w:p w14:paraId="059685E2">
            <w:pPr>
              <w:spacing w:line="300" w:lineRule="exact"/>
              <w:rPr>
                <w:rFonts w:hint="eastAsia" w:ascii="仿宋" w:hAnsi="仿宋" w:eastAsia="仿宋" w:cs="Times New Roman"/>
                <w:color w:val="000000"/>
                <w:szCs w:val="21"/>
              </w:rPr>
            </w:pPr>
          </w:p>
        </w:tc>
        <w:tc>
          <w:tcPr>
            <w:tcW w:w="1682" w:type="dxa"/>
            <w:gridSpan w:val="3"/>
            <w:vAlign w:val="center"/>
          </w:tcPr>
          <w:p w14:paraId="7A9AE3C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spacing w:line="300" w:lineRule="exact"/>
              <w:rPr>
                <w:rFonts w:hint="eastAsia" w:ascii="仿宋" w:hAnsi="仿宋" w:eastAsia="仿宋" w:cs="Times New Roman"/>
                <w:color w:val="000000"/>
                <w:szCs w:val="21"/>
                <w:lang w:eastAsia="zh-CN"/>
              </w:rPr>
            </w:pPr>
            <w:r>
              <w:rPr>
                <w:rFonts w:hint="eastAsia" w:ascii="仿宋" w:hAnsi="仿宋" w:eastAsia="仿宋" w:cs="Times New Roman"/>
                <w:color w:val="000000"/>
                <w:sz w:val="21"/>
                <w:szCs w:val="21"/>
                <w:lang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989" w:type="dxa"/>
            <w:gridSpan w:val="2"/>
            <w:tcBorders>
              <w:bottom w:val="single" w:color="auto" w:sz="4" w:space="0"/>
              <w:right w:val="single" w:color="auto" w:sz="4" w:space="0"/>
            </w:tcBorders>
            <w:vAlign w:val="center"/>
          </w:tcPr>
          <w:p w14:paraId="62F2972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0"/>
            <w:tcBorders>
              <w:left w:val="single" w:color="auto" w:sz="4" w:space="0"/>
              <w:bottom w:val="single" w:color="auto" w:sz="4" w:space="0"/>
              <w:right w:val="single" w:color="auto" w:sz="4" w:space="0"/>
            </w:tcBorders>
            <w:vAlign w:val="center"/>
          </w:tcPr>
          <w:p w14:paraId="77C99912">
            <w:pPr>
              <w:keepNext w:val="0"/>
              <w:keepLines w:val="0"/>
              <w:pageBreakBefore w:val="0"/>
              <w:widowControl w:val="0"/>
              <w:kinsoku/>
              <w:wordWrap/>
              <w:overflowPunct/>
              <w:topLinePunct w:val="0"/>
              <w:autoSpaceDE/>
              <w:autoSpaceDN/>
              <w:bidi w:val="0"/>
              <w:adjustRightInd/>
              <w:snapToGrid/>
              <w:spacing w:line="360" w:lineRule="exact"/>
              <w:ind w:firstLine="394" w:firstLineChars="200"/>
              <w:textAlignment w:val="auto"/>
              <w:rPr>
                <w:rFonts w:hint="eastAsia" w:ascii="仿宋" w:hAnsi="仿宋" w:eastAsia="仿宋" w:cs="Times New Roman"/>
                <w:color w:val="000000"/>
                <w:w w:val="95"/>
                <w:szCs w:val="21"/>
              </w:rPr>
            </w:pPr>
            <w:r>
              <w:rPr>
                <w:rFonts w:hint="eastAsia" w:ascii="仿宋" w:hAnsi="仿宋" w:eastAsia="仿宋" w:cs="Times New Roman"/>
                <w:color w:val="000000"/>
                <w:w w:val="95"/>
                <w:sz w:val="21"/>
                <w:szCs w:val="21"/>
              </w:rPr>
              <w:t>在获悉婺剧《三打白骨精》荣获</w:t>
            </w:r>
            <w:r>
              <w:rPr>
                <w:rFonts w:hint="eastAsia" w:ascii="仿宋" w:hAnsi="仿宋" w:eastAsia="仿宋" w:cs="Times New Roman"/>
                <w:color w:val="000000"/>
                <w:w w:val="95"/>
                <w:sz w:val="21"/>
                <w:szCs w:val="21"/>
                <w:lang w:eastAsia="zh-CN"/>
              </w:rPr>
              <w:t>中国</w:t>
            </w:r>
            <w:r>
              <w:rPr>
                <w:rFonts w:hint="eastAsia" w:ascii="仿宋" w:hAnsi="仿宋" w:eastAsia="仿宋" w:cs="Times New Roman"/>
                <w:color w:val="000000"/>
                <w:w w:val="95"/>
                <w:sz w:val="21"/>
                <w:szCs w:val="21"/>
              </w:rPr>
              <w:t>第十八届文华剧目奖后，采编团队把握这一重大新闻线索，精心策划，对该剧编剧、鹰潭市功勋市民姜朝皋进行了深度专访，全面了解其四十余年艺术创作历程，重点挖掘了其五度问鼎文华奖背后的故事。通过系统梳理其七卷本《烛照丹心——姜朝皋剧作诗文集》，以及《三打白骨精》一剧国内外巡演130余场、观演超500万人次、全网点击过亿等详实数据，为报道奠定了坚实的事实基础。在写作上，以“老骥伏枥姿犹健，笔底烟霞染千峰”统领全篇，通过细腻的细节描写，生动展现了老艺术家深厚的艺术造诣与不懈的创作激情。稿件历经多轮精心修改与打磨，力求思想深刻</w:t>
            </w:r>
            <w:r>
              <w:rPr>
                <w:rFonts w:hint="eastAsia" w:ascii="仿宋" w:hAnsi="仿宋" w:eastAsia="仿宋" w:cs="Times New Roman"/>
                <w:color w:val="000000"/>
                <w:w w:val="95"/>
                <w:sz w:val="21"/>
                <w:szCs w:val="21"/>
                <w:lang w:eastAsia="zh-CN"/>
              </w:rPr>
              <w:t>，</w:t>
            </w:r>
            <w:r>
              <w:rPr>
                <w:rFonts w:hint="eastAsia" w:ascii="仿宋" w:hAnsi="仿宋" w:eastAsia="仿宋" w:cs="Times New Roman"/>
                <w:color w:val="000000"/>
                <w:w w:val="95"/>
                <w:sz w:val="21"/>
                <w:szCs w:val="21"/>
              </w:rPr>
              <w:t>最终形成了这篇兼具时代高度与人文温度的通讯。</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jc w:val="center"/>
        </w:trPr>
        <w:tc>
          <w:tcPr>
            <w:tcW w:w="989" w:type="dxa"/>
            <w:gridSpan w:val="2"/>
            <w:tcBorders>
              <w:top w:val="single" w:color="auto" w:sz="4" w:space="0"/>
              <w:bottom w:val="single" w:color="auto" w:sz="4" w:space="0"/>
              <w:right w:val="single" w:color="auto" w:sz="4" w:space="0"/>
            </w:tcBorders>
            <w:vAlign w:val="center"/>
          </w:tcPr>
          <w:p w14:paraId="2A4F3D2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0"/>
            <w:tcBorders>
              <w:top w:val="single" w:color="auto" w:sz="4" w:space="0"/>
              <w:left w:val="single" w:color="auto" w:sz="4" w:space="0"/>
              <w:bottom w:val="single" w:color="auto" w:sz="4" w:space="0"/>
              <w:right w:val="single" w:color="auto" w:sz="4" w:space="0"/>
            </w:tcBorders>
            <w:vAlign w:val="center"/>
          </w:tcPr>
          <w:p w14:paraId="3392C1DA">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Times New Roman"/>
                <w:color w:val="000000"/>
                <w:szCs w:val="21"/>
              </w:rPr>
            </w:pPr>
            <w:r>
              <w:rPr>
                <w:rFonts w:hint="eastAsia" w:ascii="仿宋" w:hAnsi="仿宋" w:eastAsia="仿宋" w:cs="Times New Roman"/>
                <w:color w:val="000000"/>
                <w:sz w:val="21"/>
                <w:szCs w:val="21"/>
              </w:rPr>
              <w:t>报道见报后，形成全方位传播热潮</w:t>
            </w:r>
            <w:r>
              <w:rPr>
                <w:rFonts w:hint="eastAsia" w:ascii="仿宋" w:hAnsi="仿宋" w:eastAsia="仿宋" w:cs="Times New Roman"/>
                <w:color w:val="000000"/>
                <w:sz w:val="21"/>
                <w:szCs w:val="21"/>
                <w:lang w:eastAsia="zh-CN"/>
              </w:rPr>
              <w:t>，</w:t>
            </w:r>
            <w:r>
              <w:rPr>
                <w:rFonts w:hint="eastAsia" w:ascii="仿宋" w:hAnsi="仿宋" w:eastAsia="仿宋" w:cs="Times New Roman"/>
                <w:color w:val="000000"/>
                <w:sz w:val="21"/>
                <w:szCs w:val="21"/>
              </w:rPr>
              <w:t>让剧目影响力再升级</w:t>
            </w:r>
            <w:r>
              <w:rPr>
                <w:rFonts w:hint="eastAsia" w:ascii="仿宋" w:hAnsi="仿宋" w:eastAsia="仿宋" w:cs="Times New Roman"/>
                <w:color w:val="000000"/>
                <w:sz w:val="21"/>
                <w:szCs w:val="21"/>
                <w:lang w:eastAsia="zh-CN"/>
              </w:rPr>
              <w:t>，</w:t>
            </w:r>
            <w:r>
              <w:rPr>
                <w:rFonts w:hint="eastAsia" w:ascii="仿宋" w:hAnsi="仿宋" w:eastAsia="仿宋" w:cs="Times New Roman"/>
                <w:color w:val="000000"/>
                <w:sz w:val="21"/>
                <w:szCs w:val="21"/>
              </w:rPr>
              <w:t>社交媒体上口碑持续发酵，话题热度居高不下，更多观众通过报道关注该剧，进一步印证其“现象级”地位，为传统戏曲传播注入强劲动力。</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1624CB43">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right w:val="single" w:color="auto" w:sz="4" w:space="0"/>
            </w:tcBorders>
            <w:vAlign w:val="center"/>
          </w:tcPr>
          <w:p w14:paraId="4D4FC6B6">
            <w:pPr>
              <w:spacing w:line="300" w:lineRule="exact"/>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12C35F67">
            <w:pPr>
              <w:spacing w:line="300" w:lineRule="exact"/>
              <w:rPr>
                <w:rFonts w:hint="eastAsia" w:ascii="仿宋" w:hAnsi="仿宋" w:eastAsia="仿宋"/>
                <w:color w:val="000000"/>
                <w:sz w:val="21"/>
                <w:szCs w:val="21"/>
              </w:rPr>
            </w:pPr>
            <w:r>
              <w:rPr>
                <w:rFonts w:hint="eastAsia" w:ascii="仿宋" w:hAnsi="仿宋" w:eastAsia="仿宋"/>
                <w:color w:val="000000"/>
                <w:sz w:val="21"/>
                <w:szCs w:val="21"/>
              </w:rPr>
              <w:t>https://app.ytnews.cn/webDetails/news?id=12676684&amp;tenantId=301&amp;uid=683f9d5d4c6dff00192afdd3</w:t>
            </w:r>
          </w:p>
        </w:tc>
      </w:tr>
      <w:tr w14:paraId="6F42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exact"/>
          <w:jc w:val="center"/>
        </w:trPr>
        <w:tc>
          <w:tcPr>
            <w:tcW w:w="707" w:type="dxa"/>
            <w:vMerge w:val="continue"/>
            <w:tcBorders>
              <w:left w:val="single" w:color="auto" w:sz="4" w:space="0"/>
              <w:right w:val="single" w:color="auto" w:sz="4" w:space="0"/>
            </w:tcBorders>
            <w:vAlign w:val="center"/>
          </w:tcPr>
          <w:p w14:paraId="6FA95E3D">
            <w:pPr>
              <w:spacing w:line="300" w:lineRule="exact"/>
              <w:jc w:val="center"/>
              <w:rPr>
                <w:rFonts w:hint="eastAsia" w:ascii="华文中宋" w:hAnsi="华文中宋" w:eastAsia="华文中宋"/>
                <w:color w:val="000000"/>
                <w:sz w:val="28"/>
              </w:rPr>
            </w:pPr>
          </w:p>
        </w:tc>
        <w:tc>
          <w:tcPr>
            <w:tcW w:w="988" w:type="dxa"/>
            <w:gridSpan w:val="3"/>
            <w:vMerge w:val="continue"/>
            <w:tcBorders>
              <w:left w:val="single" w:color="auto" w:sz="4" w:space="0"/>
              <w:right w:val="single" w:color="auto" w:sz="4" w:space="0"/>
            </w:tcBorders>
            <w:vAlign w:val="center"/>
          </w:tcPr>
          <w:p w14:paraId="582958E0">
            <w:pPr>
              <w:spacing w:line="300" w:lineRule="exact"/>
              <w:jc w:val="center"/>
              <w:rPr>
                <w:rFonts w:hint="eastAsia" w:ascii="仿宋" w:hAnsi="仿宋" w:eastAsia="仿宋" w:cs="仿宋"/>
                <w:color w:val="000000"/>
                <w:spacing w:val="-1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16EE7273">
            <w:pPr>
              <w:spacing w:line="300" w:lineRule="exact"/>
              <w:rPr>
                <w:rFonts w:hint="eastAsia" w:ascii="仿宋" w:hAnsi="仿宋" w:eastAsia="仿宋" w:cs="仿宋"/>
                <w:color w:val="000000"/>
                <w:sz w:val="21"/>
                <w:szCs w:val="21"/>
                <w:lang w:val="en-US" w:eastAsia="zh-CN"/>
              </w:rPr>
            </w:pPr>
            <w:r>
              <w:rPr>
                <w:rFonts w:hint="eastAsia" w:ascii="仿宋" w:hAnsi="仿宋" w:cs="仿宋"/>
                <w:color w:val="000000"/>
                <w:sz w:val="21"/>
                <w:szCs w:val="21"/>
                <w:lang w:val="en-US" w:eastAsia="zh-CN"/>
              </w:rPr>
              <w:t>2</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039F9F0F">
            <w:pPr>
              <w:spacing w:line="300" w:lineRule="exact"/>
              <w:rPr>
                <w:rFonts w:hint="eastAsia" w:ascii="仿宋" w:hAnsi="仿宋" w:eastAsia="仿宋"/>
                <w:color w:val="000000"/>
                <w:sz w:val="21"/>
                <w:szCs w:val="21"/>
              </w:rPr>
            </w:pPr>
          </w:p>
        </w:tc>
      </w:tr>
      <w:tr w14:paraId="25FC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exact"/>
          <w:jc w:val="center"/>
        </w:trPr>
        <w:tc>
          <w:tcPr>
            <w:tcW w:w="707" w:type="dxa"/>
            <w:vMerge w:val="continue"/>
            <w:tcBorders>
              <w:left w:val="single" w:color="auto" w:sz="4" w:space="0"/>
              <w:right w:val="single" w:color="auto" w:sz="4" w:space="0"/>
            </w:tcBorders>
            <w:vAlign w:val="center"/>
          </w:tcPr>
          <w:p w14:paraId="56FC7B67">
            <w:pPr>
              <w:spacing w:line="300" w:lineRule="exact"/>
              <w:jc w:val="center"/>
              <w:rPr>
                <w:rFonts w:hint="eastAsia" w:ascii="华文中宋" w:hAnsi="华文中宋" w:eastAsia="华文中宋"/>
                <w:color w:val="000000"/>
                <w:sz w:val="28"/>
              </w:rPr>
            </w:pPr>
          </w:p>
        </w:tc>
        <w:tc>
          <w:tcPr>
            <w:tcW w:w="988" w:type="dxa"/>
            <w:gridSpan w:val="3"/>
            <w:vMerge w:val="continue"/>
            <w:tcBorders>
              <w:left w:val="single" w:color="auto" w:sz="4" w:space="0"/>
              <w:bottom w:val="single" w:color="auto" w:sz="4" w:space="0"/>
              <w:right w:val="single" w:color="auto" w:sz="4" w:space="0"/>
            </w:tcBorders>
            <w:vAlign w:val="center"/>
          </w:tcPr>
          <w:p w14:paraId="36883F48">
            <w:pPr>
              <w:spacing w:line="300" w:lineRule="exact"/>
              <w:jc w:val="center"/>
              <w:rPr>
                <w:rFonts w:hint="eastAsia" w:ascii="仿宋" w:hAnsi="仿宋" w:eastAsia="仿宋" w:cs="仿宋"/>
                <w:color w:val="000000"/>
                <w:spacing w:val="-1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03A60C92">
            <w:pPr>
              <w:spacing w:line="300" w:lineRule="exact"/>
              <w:rPr>
                <w:rFonts w:hint="eastAsia" w:ascii="仿宋" w:hAnsi="仿宋" w:eastAsia="仿宋" w:cs="仿宋"/>
                <w:color w:val="000000"/>
                <w:sz w:val="21"/>
                <w:szCs w:val="21"/>
                <w:lang w:val="en-US" w:eastAsia="zh-CN"/>
              </w:rPr>
            </w:pPr>
            <w:r>
              <w:rPr>
                <w:rFonts w:hint="eastAsia" w:ascii="仿宋" w:hAnsi="仿宋" w:cs="仿宋"/>
                <w:color w:val="000000"/>
                <w:sz w:val="21"/>
                <w:szCs w:val="21"/>
                <w:lang w:val="en-US" w:eastAsia="zh-CN"/>
              </w:rPr>
              <w:t>3</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1ADA8BAC">
            <w:pPr>
              <w:spacing w:line="300" w:lineRule="exact"/>
              <w:rPr>
                <w:rFonts w:hint="eastAsia" w:ascii="仿宋" w:hAnsi="仿宋" w:eastAsia="仿宋"/>
                <w:color w:val="000000"/>
                <w:sz w:val="21"/>
                <w:szCs w:val="21"/>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38B20B4F">
            <w:pPr>
              <w:widowControl/>
              <w:spacing w:line="300" w:lineRule="exact"/>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spacing w:line="300" w:lineRule="exact"/>
              <w:rPr>
                <w:rFonts w:hint="default" w:ascii="仿宋" w:hAnsi="仿宋" w:eastAsia="仿宋"/>
                <w:color w:val="000000"/>
                <w:sz w:val="21"/>
                <w:szCs w:val="21"/>
                <w:lang w:val="en-US" w:eastAsia="zh-CN"/>
              </w:rPr>
            </w:pPr>
            <w:r>
              <w:rPr>
                <w:rFonts w:hint="eastAsia" w:ascii="仿宋" w:hAnsi="仿宋"/>
                <w:color w:val="000000"/>
                <w:sz w:val="21"/>
                <w:szCs w:val="21"/>
                <w:lang w:val="en-US" w:eastAsia="zh-CN"/>
              </w:rPr>
              <w:t>4.3万+</w:t>
            </w: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17D8E805">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3"/>
            <w:tcBorders>
              <w:top w:val="single" w:color="auto" w:sz="4" w:space="0"/>
              <w:left w:val="single" w:color="auto" w:sz="4" w:space="0"/>
              <w:bottom w:val="single" w:color="auto" w:sz="4" w:space="0"/>
              <w:right w:val="single" w:color="auto" w:sz="4" w:space="0"/>
            </w:tcBorders>
            <w:vAlign w:val="center"/>
          </w:tcPr>
          <w:p w14:paraId="7749BC1D">
            <w:pPr>
              <w:spacing w:line="300" w:lineRule="exact"/>
              <w:jc w:val="center"/>
              <w:rPr>
                <w:rFonts w:hint="default" w:ascii="仿宋" w:hAnsi="仿宋" w:eastAsia="仿宋"/>
                <w:color w:val="000000"/>
                <w:sz w:val="21"/>
                <w:szCs w:val="21"/>
                <w:lang w:val="en-US" w:eastAsia="zh-CN"/>
              </w:rPr>
            </w:pPr>
            <w:r>
              <w:rPr>
                <w:rFonts w:hint="eastAsia" w:ascii="仿宋" w:hAnsi="仿宋"/>
                <w:color w:val="000000"/>
                <w:sz w:val="21"/>
                <w:szCs w:val="21"/>
                <w:lang w:val="en-US" w:eastAsia="zh-CN"/>
              </w:rPr>
              <w:t>69</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62C29C7E">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spacing w:line="300" w:lineRule="exact"/>
              <w:rPr>
                <w:rFonts w:hint="default" w:ascii="仿宋" w:hAnsi="仿宋" w:eastAsia="仿宋"/>
                <w:color w:val="000000"/>
                <w:sz w:val="21"/>
                <w:szCs w:val="21"/>
                <w:lang w:val="en-US" w:eastAsia="zh-CN"/>
              </w:rPr>
            </w:pPr>
            <w:r>
              <w:rPr>
                <w:rFonts w:hint="eastAsia" w:ascii="仿宋" w:hAnsi="仿宋"/>
                <w:color w:val="000000"/>
                <w:sz w:val="21"/>
                <w:szCs w:val="21"/>
                <w:lang w:val="en-US" w:eastAsia="zh-CN"/>
              </w:rPr>
              <w:t>225</w:t>
            </w: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exact"/>
          <w:jc w:val="center"/>
        </w:trPr>
        <w:tc>
          <w:tcPr>
            <w:tcW w:w="1444" w:type="dxa"/>
            <w:gridSpan w:val="3"/>
            <w:tcBorders>
              <w:bottom w:val="single" w:color="auto" w:sz="4" w:space="0"/>
            </w:tcBorders>
            <w:vAlign w:val="center"/>
          </w:tcPr>
          <w:p w14:paraId="31BD3A9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19"/>
            <w:tcBorders>
              <w:bottom w:val="single" w:color="auto" w:sz="4" w:space="0"/>
            </w:tcBorders>
            <w:vAlign w:val="center"/>
          </w:tcPr>
          <w:p w14:paraId="2598E7B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000000"/>
                <w:sz w:val="21"/>
                <w:szCs w:val="21"/>
              </w:rPr>
            </w:pPr>
            <w:r>
              <w:rPr>
                <w:rFonts w:hint="eastAsia" w:ascii="仿宋" w:hAnsi="仿宋" w:eastAsia="仿宋" w:cs="Times New Roman"/>
                <w:color w:val="000000"/>
                <w:szCs w:val="21"/>
              </w:rPr>
              <w:t xml:space="preserve">    </w:t>
            </w:r>
            <w:r>
              <w:rPr>
                <w:rFonts w:hint="eastAsia" w:ascii="仿宋" w:hAnsi="仿宋" w:eastAsia="仿宋" w:cs="Times New Roman"/>
                <w:color w:val="000000"/>
                <w:sz w:val="21"/>
                <w:szCs w:val="21"/>
              </w:rPr>
              <w:t>作品主题重大，立意高远，紧扣我国</w:t>
            </w:r>
            <w:r>
              <w:rPr>
                <w:rFonts w:hint="eastAsia" w:ascii="仿宋" w:hAnsi="仿宋" w:eastAsia="仿宋" w:cs="Times New Roman"/>
                <w:color w:val="000000"/>
                <w:sz w:val="21"/>
                <w:szCs w:val="21"/>
                <w:lang w:val="en-US" w:eastAsia="zh-CN"/>
              </w:rPr>
              <w:t>专业</w:t>
            </w:r>
            <w:r>
              <w:rPr>
                <w:rFonts w:hint="eastAsia" w:ascii="仿宋" w:hAnsi="仿宋" w:eastAsia="仿宋" w:cs="Times New Roman"/>
                <w:color w:val="000000"/>
                <w:sz w:val="21"/>
                <w:szCs w:val="21"/>
              </w:rPr>
              <w:t>舞台艺术</w:t>
            </w:r>
            <w:r>
              <w:rPr>
                <w:rFonts w:hint="eastAsia" w:ascii="仿宋" w:hAnsi="仿宋" w:eastAsia="仿宋" w:cs="Times New Roman"/>
                <w:color w:val="000000"/>
                <w:sz w:val="21"/>
                <w:szCs w:val="21"/>
                <w:lang w:val="en-US" w:eastAsia="zh-CN"/>
              </w:rPr>
              <w:t>政府</w:t>
            </w:r>
            <w:r>
              <w:rPr>
                <w:rFonts w:hint="eastAsia" w:ascii="仿宋" w:hAnsi="仿宋" w:eastAsia="仿宋" w:cs="Times New Roman"/>
                <w:color w:val="000000"/>
                <w:sz w:val="21"/>
                <w:szCs w:val="21"/>
              </w:rPr>
              <w:t>最高奖项——文华奖，通过报道著名剧作家姜朝皋先生五获文华奖的杰出成就与艺术生涯，深刻诠释了新时代文艺工作者“守正创新、勇攀高峰”的坚定信念与赤子情怀，具有强烈的正面导向和示范意义。新闻报道时效性突出，在第十四届中国艺术节闭幕、奖项揭晓之际及时推出，抢占了宣传先机，新闻价值显著。作品人物典型，姜朝皋作为长期扎根江西、服务地方的功勋艺术家，其“立足鹰潭、面向全国”的奋斗足迹和艺术实践，是江西文化繁荣发展的生动缩影，为文化强省建设营造了良好氛围。全文数据扎实，案例生动，文笔凝练，情感真挚，是一篇弘扬主旋律、传播正能量的新闻精品。</w:t>
            </w:r>
          </w:p>
          <w:p w14:paraId="55C2605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000000"/>
                <w:sz w:val="21"/>
                <w:szCs w:val="21"/>
              </w:rPr>
            </w:pPr>
            <w:r>
              <w:rPr>
                <w:rFonts w:hint="eastAsia" w:ascii="仿宋" w:hAnsi="仿宋" w:eastAsia="仿宋" w:cs="Times New Roman"/>
                <w:color w:val="000000"/>
                <w:spacing w:val="-2"/>
                <w:sz w:val="21"/>
                <w:szCs w:val="21"/>
              </w:rPr>
              <w:t xml:space="preserve">                     单位主要负责人签名：</w:t>
            </w:r>
            <w:r>
              <w:rPr>
                <w:rFonts w:hint="eastAsia" w:ascii="仿宋" w:hAnsi="仿宋" w:cs="Times New Roman"/>
                <w:color w:val="000000"/>
                <w:spacing w:val="-2"/>
                <w:sz w:val="21"/>
                <w:szCs w:val="21"/>
                <w:lang w:val="en-US" w:eastAsia="zh-CN"/>
              </w:rPr>
              <w:t xml:space="preserve">                   </w:t>
            </w:r>
            <w:r>
              <w:rPr>
                <w:rFonts w:hint="eastAsia" w:ascii="仿宋" w:hAnsi="仿宋" w:eastAsia="仿宋" w:cs="Times New Roman"/>
                <w:color w:val="000000"/>
                <w:sz w:val="21"/>
                <w:szCs w:val="21"/>
              </w:rPr>
              <w:t>（盖单位公章）</w:t>
            </w:r>
          </w:p>
          <w:p w14:paraId="1CF6F4E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000000"/>
                <w:szCs w:val="21"/>
              </w:rPr>
            </w:pPr>
            <w:r>
              <w:rPr>
                <w:rFonts w:hint="eastAsia" w:ascii="仿宋" w:hAnsi="仿宋" w:eastAsia="仿宋" w:cs="Times New Roman"/>
                <w:color w:val="000000"/>
                <w:sz w:val="21"/>
                <w:szCs w:val="21"/>
              </w:rPr>
              <w:t xml:space="preserve">                                                      </w:t>
            </w:r>
            <w:r>
              <w:rPr>
                <w:rFonts w:hint="eastAsia" w:ascii="仿宋" w:hAnsi="仿宋" w:eastAsia="仿宋" w:cs="Times New Roman"/>
                <w:color w:val="000000"/>
                <w:sz w:val="21"/>
                <w:szCs w:val="21"/>
                <w:lang w:val="en-US" w:eastAsia="zh-CN"/>
              </w:rPr>
              <w:t xml:space="preserve">    </w:t>
            </w:r>
            <w:r>
              <w:rPr>
                <w:rFonts w:hint="eastAsia" w:ascii="仿宋" w:hAnsi="仿宋" w:cs="Times New Roman"/>
                <w:color w:val="000000"/>
                <w:sz w:val="21"/>
                <w:szCs w:val="21"/>
                <w:lang w:val="en-US" w:eastAsia="zh-CN"/>
              </w:rPr>
              <w:t>2026</w:t>
            </w:r>
            <w:r>
              <w:rPr>
                <w:rFonts w:ascii="仿宋" w:hAnsi="仿宋" w:eastAsia="仿宋" w:cs="Times New Roman"/>
                <w:color w:val="000000"/>
                <w:sz w:val="21"/>
                <w:szCs w:val="21"/>
              </w:rPr>
              <w:t>年</w:t>
            </w:r>
            <w:r>
              <w:rPr>
                <w:rFonts w:hint="eastAsia" w:ascii="仿宋" w:hAnsi="仿宋" w:cs="Times New Roman"/>
                <w:color w:val="000000"/>
                <w:sz w:val="21"/>
                <w:szCs w:val="21"/>
                <w:lang w:val="en-US" w:eastAsia="zh-CN"/>
              </w:rPr>
              <w:t>1</w:t>
            </w:r>
            <w:r>
              <w:rPr>
                <w:rFonts w:hint="eastAsia" w:ascii="仿宋" w:hAnsi="仿宋" w:eastAsia="仿宋" w:cs="Times New Roman"/>
                <w:color w:val="000000"/>
                <w:sz w:val="21"/>
                <w:szCs w:val="21"/>
              </w:rPr>
              <w:t>月</w:t>
            </w:r>
            <w:r>
              <w:rPr>
                <w:rFonts w:hint="eastAsia" w:ascii="仿宋" w:hAnsi="仿宋" w:cs="Times New Roman"/>
                <w:color w:val="000000"/>
                <w:sz w:val="21"/>
                <w:szCs w:val="21"/>
                <w:lang w:val="en-US" w:eastAsia="zh-CN"/>
              </w:rPr>
              <w:t>5</w:t>
            </w:r>
            <w:r>
              <w:rPr>
                <w:rFonts w:hint="eastAsia" w:ascii="仿宋" w:hAnsi="仿宋" w:eastAsia="仿宋" w:cs="Times New Roman"/>
                <w:color w:val="000000"/>
                <w:sz w:val="21"/>
                <w:szCs w:val="21"/>
              </w:rPr>
              <w:t>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989" w:type="dxa"/>
            <w:gridSpan w:val="2"/>
            <w:tcBorders>
              <w:top w:val="single" w:color="auto" w:sz="4" w:space="0"/>
              <w:bottom w:val="single" w:color="auto" w:sz="4" w:space="0"/>
            </w:tcBorders>
            <w:vAlign w:val="center"/>
          </w:tcPr>
          <w:p w14:paraId="1B762B3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spacing w:line="300" w:lineRule="exact"/>
              <w:jc w:val="both"/>
              <w:rPr>
                <w:rFonts w:hint="eastAsia" w:ascii="仿宋" w:hAnsi="仿宋" w:eastAsia="仿宋" w:cs="Times New Roman"/>
                <w:color w:val="000000"/>
                <w:sz w:val="32"/>
                <w:szCs w:val="21"/>
                <w:lang w:val="en-US" w:eastAsia="zh-CN"/>
              </w:rPr>
            </w:pPr>
            <w:r>
              <w:rPr>
                <w:rFonts w:hint="eastAsia" w:ascii="仿宋" w:hAnsi="仿宋" w:eastAsia="仿宋" w:cs="Times New Roman"/>
                <w:color w:val="000000"/>
                <w:sz w:val="21"/>
                <w:szCs w:val="21"/>
                <w:lang w:val="en-US" w:eastAsia="zh-CN"/>
              </w:rPr>
              <w:t>刘翔</w:t>
            </w:r>
          </w:p>
        </w:tc>
        <w:tc>
          <w:tcPr>
            <w:tcW w:w="1200" w:type="dxa"/>
            <w:gridSpan w:val="3"/>
            <w:tcBorders>
              <w:top w:val="single" w:color="auto" w:sz="4" w:space="0"/>
              <w:bottom w:val="single" w:color="auto" w:sz="4" w:space="0"/>
            </w:tcBorders>
            <w:vAlign w:val="center"/>
          </w:tcPr>
          <w:p w14:paraId="7C57FC4D">
            <w:pPr>
              <w:spacing w:line="300" w:lineRule="exact"/>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1"/>
            <w:tcBorders>
              <w:top w:val="single" w:color="auto" w:sz="4" w:space="0"/>
              <w:bottom w:val="single" w:color="auto" w:sz="4" w:space="0"/>
            </w:tcBorders>
            <w:vAlign w:val="center"/>
          </w:tcPr>
          <w:p w14:paraId="56771BCB">
            <w:pPr>
              <w:spacing w:line="30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13707015508</w:t>
            </w:r>
          </w:p>
        </w:tc>
      </w:tr>
    </w:tbl>
    <w:p w14:paraId="2542B9E9">
      <w:pPr>
        <w:spacing w:line="240" w:lineRule="auto"/>
        <w:rPr>
          <w:rFonts w:hint="eastAsia" w:ascii="仿宋" w:hAnsi="仿宋" w:eastAsia="仿宋"/>
          <w:lang w:eastAsia="zh-CN"/>
        </w:rPr>
      </w:pPr>
      <w:r>
        <w:rPr>
          <w:rFonts w:hint="eastAsia" w:ascii="仿宋" w:hAnsi="仿宋" w:eastAsia="仿宋"/>
          <w:lang w:eastAsia="zh-CN"/>
        </w:rPr>
        <w:drawing>
          <wp:inline distT="0" distB="0" distL="114300" distR="114300">
            <wp:extent cx="5264150" cy="7212965"/>
            <wp:effectExtent l="0" t="0" r="12700" b="6985"/>
            <wp:docPr id="3" name="图片 3" descr="当代著名剧作家姜朝皋剧作《三打白骨精》荣获我国政府最高奖——老骥伏枥姿犹健  笔底烟霞染千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当代著名剧作家姜朝皋剧作《三打白骨精》荣获我国政府最高奖——老骥伏枥姿犹健  笔底烟霞染千峰"/>
                    <pic:cNvPicPr>
                      <a:picLocks noChangeAspect="1"/>
                    </pic:cNvPicPr>
                  </pic:nvPicPr>
                  <pic:blipFill>
                    <a:blip r:embed="rId4"/>
                    <a:stretch>
                      <a:fillRect/>
                    </a:stretch>
                  </pic:blipFill>
                  <pic:spPr>
                    <a:xfrm>
                      <a:off x="0" y="0"/>
                      <a:ext cx="5264150" cy="7212965"/>
                    </a:xfrm>
                    <a:prstGeom prst="rect">
                      <a:avLst/>
                    </a:prstGeom>
                  </pic:spPr>
                </pic:pic>
              </a:graphicData>
            </a:graphic>
          </wp:inline>
        </w:drawing>
      </w:r>
    </w:p>
    <w:p w14:paraId="4D71D2C3">
      <w:pPr>
        <w:spacing w:line="240" w:lineRule="auto"/>
        <w:rPr>
          <w:rFonts w:hint="eastAsia" w:ascii="仿宋" w:hAnsi="仿宋" w:eastAsia="仿宋"/>
          <w:lang w:eastAsia="zh-CN"/>
        </w:rPr>
      </w:pPr>
    </w:p>
    <w:p w14:paraId="3C66FFD1">
      <w:pPr>
        <w:spacing w:line="240" w:lineRule="auto"/>
        <w:rPr>
          <w:rFonts w:hint="eastAsia" w:ascii="仿宋" w:hAnsi="仿宋" w:eastAsia="仿宋"/>
          <w:lang w:eastAsia="zh-CN"/>
        </w:rPr>
      </w:pPr>
    </w:p>
    <w:p w14:paraId="244FD262">
      <w:pPr>
        <w:spacing w:line="240" w:lineRule="auto"/>
        <w:rPr>
          <w:rFonts w:hint="eastAsia" w:ascii="仿宋" w:hAnsi="仿宋" w:eastAsia="仿宋"/>
          <w:lang w:eastAsia="zh-CN"/>
        </w:rPr>
      </w:pPr>
    </w:p>
    <w:p w14:paraId="1A7C5697">
      <w:pPr>
        <w:spacing w:line="240" w:lineRule="auto"/>
        <w:rPr>
          <w:rFonts w:hint="eastAsia" w:ascii="仿宋" w:hAnsi="仿宋" w:eastAsia="仿宋"/>
          <w:lang w:eastAsia="zh-CN"/>
        </w:rPr>
      </w:pPr>
    </w:p>
    <w:p w14:paraId="5C4F36C6">
      <w:pPr>
        <w:spacing w:line="240" w:lineRule="auto"/>
        <w:rPr>
          <w:rFonts w:hint="eastAsia" w:ascii="仿宋" w:hAnsi="仿宋" w:eastAsia="仿宋"/>
          <w:lang w:eastAsia="zh-CN"/>
        </w:rPr>
      </w:pPr>
    </w:p>
    <w:p w14:paraId="4B661A76">
      <w:pPr>
        <w:pStyle w:val="3"/>
        <w:keepNext w:val="0"/>
        <w:keepLines w:val="0"/>
        <w:pageBreakBefore w:val="0"/>
        <w:kinsoku/>
        <w:wordWrap/>
        <w:overflowPunct/>
        <w:topLinePunct w:val="0"/>
        <w:autoSpaceDE/>
        <w:autoSpaceDN/>
        <w:bidi w:val="0"/>
        <w:adjustRightInd/>
        <w:spacing w:line="560" w:lineRule="exact"/>
        <w:ind w:left="1390" w:leftChars="0" w:hanging="1390" w:hanging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通讯</w:t>
      </w:r>
    </w:p>
    <w:p w14:paraId="676C33B9">
      <w:pPr>
        <w:pStyle w:val="4"/>
        <w:rPr>
          <w:rFonts w:hint="eastAsia"/>
          <w:lang w:val="en-US" w:eastAsia="zh-CN"/>
        </w:rPr>
      </w:pPr>
    </w:p>
    <w:p w14:paraId="56B412C8">
      <w:pPr>
        <w:pStyle w:val="3"/>
        <w:keepNext w:val="0"/>
        <w:keepLines w:val="0"/>
        <w:pageBreakBefore w:val="0"/>
        <w:kinsoku/>
        <w:wordWrap/>
        <w:overflowPunct/>
        <w:topLinePunct w:val="0"/>
        <w:autoSpaceDE/>
        <w:autoSpaceDN/>
        <w:bidi w:val="0"/>
        <w:adjustRightInd/>
        <w:spacing w:line="560" w:lineRule="exact"/>
        <w:ind w:left="1390" w:leftChars="0" w:hanging="1390" w:hangingChars="50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当代著名剧作家姜朝皋剧作《三打白骨精》荣获我国政府最高奖——</w:t>
      </w:r>
    </w:p>
    <w:p w14:paraId="35B275B0">
      <w:pPr>
        <w:pStyle w:val="3"/>
        <w:keepNext w:val="0"/>
        <w:keepLines w:val="0"/>
        <w:pageBreakBefore w:val="0"/>
        <w:kinsoku/>
        <w:wordWrap/>
        <w:overflowPunct/>
        <w:topLinePunct w:val="0"/>
        <w:autoSpaceDE/>
        <w:autoSpaceDN/>
        <w:bidi w:val="0"/>
        <w:adjustRightInd/>
        <w:spacing w:line="560" w:lineRule="exact"/>
        <w:ind w:left="0" w:leftChars="0" w:firstLine="0" w:firstLineChars="0"/>
        <w:jc w:val="center"/>
        <w:textAlignment w:val="auto"/>
        <w:rPr>
          <w:rFonts w:hint="eastAsia"/>
          <w:lang w:val="en-US" w:eastAsia="zh-CN"/>
        </w:rPr>
      </w:pPr>
      <w:r>
        <w:rPr>
          <w:rFonts w:hint="eastAsia" w:ascii="黑体" w:hAnsi="黑体" w:eastAsia="黑体" w:cs="黑体"/>
          <w:sz w:val="32"/>
          <w:szCs w:val="32"/>
          <w:lang w:val="en-US" w:eastAsia="zh-CN"/>
        </w:rPr>
        <w:t>老骥伏枥姿犹健  笔底烟霞染千峰</w:t>
      </w:r>
    </w:p>
    <w:p w14:paraId="0D57D15B">
      <w:pPr>
        <w:pStyle w:val="4"/>
        <w:keepNext w:val="0"/>
        <w:keepLines w:val="0"/>
        <w:pageBreakBefore w:val="0"/>
        <w:kinsoku/>
        <w:wordWrap/>
        <w:overflowPunct/>
        <w:topLinePunct w:val="0"/>
        <w:autoSpaceDE/>
        <w:autoSpaceDN/>
        <w:bidi w:val="0"/>
        <w:adjustRightInd/>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作者：刘翔</w:t>
      </w:r>
    </w:p>
    <w:p w14:paraId="256194A4">
      <w:pPr>
        <w:pStyle w:val="4"/>
        <w:keepNext w:val="0"/>
        <w:keepLines w:val="0"/>
        <w:pageBreakBefore w:val="0"/>
        <w:kinsoku/>
        <w:wordWrap/>
        <w:overflowPunct/>
        <w:topLinePunct w:val="0"/>
        <w:autoSpaceDE/>
        <w:autoSpaceDN/>
        <w:bidi w:val="0"/>
        <w:adjustRightInd/>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编辑：郑睦华</w:t>
      </w:r>
      <w:r>
        <w:rPr>
          <w:rFonts w:hint="eastAsia" w:ascii="仿宋" w:hAnsi="仿宋" w:cs="仿宋"/>
          <w:sz w:val="24"/>
          <w:szCs w:val="24"/>
          <w:lang w:val="en-US" w:eastAsia="zh-CN"/>
        </w:rPr>
        <w:t>、</w:t>
      </w:r>
      <w:r>
        <w:rPr>
          <w:rFonts w:hint="eastAsia" w:ascii="仿宋" w:hAnsi="仿宋" w:eastAsia="仿宋" w:cs="仿宋"/>
          <w:sz w:val="24"/>
          <w:szCs w:val="24"/>
          <w:lang w:val="en-US" w:eastAsia="zh-CN"/>
        </w:rPr>
        <w:t>张丽琴</w:t>
      </w:r>
    </w:p>
    <w:p w14:paraId="6E06351E">
      <w:pPr>
        <w:keepNext w:val="0"/>
        <w:keepLines w:val="0"/>
        <w:pageBreakBefore w:val="0"/>
        <w:kinsoku/>
        <w:wordWrap/>
        <w:overflowPunct/>
        <w:topLinePunct w:val="0"/>
        <w:autoSpaceDE/>
        <w:autoSpaceDN/>
        <w:bidi w:val="0"/>
        <w:adjustRightInd/>
        <w:spacing w:line="560" w:lineRule="exact"/>
        <w:ind w:firstLine="834" w:firstLineChars="300"/>
        <w:textAlignment w:val="auto"/>
        <w:rPr>
          <w:rFonts w:hint="eastAsia"/>
        </w:rPr>
      </w:pPr>
    </w:p>
    <w:p w14:paraId="0A6B434B">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秋天是收获的季节，对于当代著名剧作家、国家一级编剧姜朝皋来说，刚过去的金秋，是彩霞满目、双喜临门。</w:t>
      </w:r>
    </w:p>
    <w:p w14:paraId="36AD3024">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一喜是凝聚他大半生心血的巨著《烛照丹心——姜朝皋剧作诗文集》在线装书局出版，皇皇七卷，两百余万言，收录了历年来他创作的大型剧作50余部，小戏、电视剧等20余部，文、赋、诗、联200余篇（首、副），是他生平作品的一次集中集结，其间辛劳喜悦，可想而知。</w:t>
      </w:r>
    </w:p>
    <w:p w14:paraId="60EBDFB8">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二喜是他编创的大型婺剧《三打白骨精》荣获第十八届文华剧目奖，登上中国舞台艺术的顶峰，誉满神州。</w:t>
      </w:r>
    </w:p>
    <w:p w14:paraId="4DE83B7A">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作为鹰潭市功勋市民、个人一等功获得者的姜朝皋，40年前从美丽的鄱阳湖畔作为优秀人才被引进到升格发展的鹰潭，数十年如一日，在文化艺术领域深耕不辍，一步步成长，由一个小城作者成为当代著名剧作家、国家一级编剧、中国戏曲学院客座教授、中国戏剧家协会“戏剧文学讲师团”导师，终身享受国务院政府特殊津贴。其创作的50余部剧作，在全国通过十多个剧种形式上演，多次荣获文华剧作奖、曹禺戏剧文学奖、全国“五个一工程”奖等国家级重大奖项，并蝉联九届江西省戏剧节编剧一等奖，还在省外、国外获奖。这次婺剧《三打白骨精》是继京剧《贵人遗香》、评剧《胡风汉月》、婺剧《梦断婺江》、赣剧《詹天佑》之后，第五次摘取文华奖的桂冠。这一切，足以印证他立足鹰潭、面向全国的奋斗足迹。</w:t>
      </w:r>
    </w:p>
    <w:p w14:paraId="2D7BADD9">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提起文华奖，可能有人还不甚了解，它是我国文化艺术政府最高奖，原为单独评选，后与中国艺术节同期举办，成为中国艺术节的主体活动，也是我国规格最高、规模最大的艺术盛会。第十四届中国艺术节由文化和旅游部、重庆市人民政府、四川省人民政府共同主办，主体活动于2025年10月15日至11月5日在成都、重庆两地举行，集中展演100余台优秀舞台艺术作品。本届艺术节闭幕式上，第十八届文华奖揭晓，共评出文华剧目奖15台、文华单项奖23个，还增设了文华节目奖（小戏、小品、歌曲等）。其中重磅是15台文华剧目奖，作为综合性大奖，是全国各地剧目竞争的主要目标，15台剧目奖中包括戏曲6台，话剧3台，舞剧两台，儿童剧、歌剧、音乐剧和杂技剧各1台。戏曲由于体量最大，院团和入选剧目最多，所以竞争也最为激烈。《三打白骨精》能在激烈竞争中脱颖而出，跻身6台戏曲综合大奖之列，其难度不言而喻。这块沉甸甸的奖牌，是全剧组编、导、演、音、美、灯、服、道、化、效心血和汗水的结晶。</w:t>
      </w:r>
    </w:p>
    <w:p w14:paraId="53FC7213">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浙江婺剧艺术研究院是全国一流院团，有着最优秀的管理精英和强大的演出团队。姜朝皋与该院的合作可以追溯到20多年前，那时浙江婺剧艺术研究院偏居金华一隅，名不见经传，新上任不久的王晓平团长雄心勃勃，经文化部相关领导介绍，找到姜朝皋为他们创作一台具有地域特色表现太平天国兴亡的《梦断婺江》，由陈美兰和朱元昊两位婺剧表演艺术家担纲主演。一经推出，便引起强烈反响，在杭州、宁波、广州参赛，选调进京献演，各种奖项接踵而来，剧团也因此引起业内外关注。接下来的岁月，姜朝皋又为该院团连续创作了7部大戏，分别是《遥寄杏花村》《青春版穆桂英》《铁血红颜》《血路芳华》《基石》《忠烈千秋》《闯王旗》，次次弹无虚发，其中《青春版穆桂英》成为该院国内外巡演首推剧目，《血路芳华》在浙江省戏剧节上获十大优秀剧目奖榜首，《基石》在中央电视台9天内不同时段接连播出7次，这么高频率频繁播出，已然鲜见，其他如国家艺术基金立项资助、浙江省“五个一工程”奖、全国少数民族戏剧会演金奖、中国戏曲学会“金盾奖”等也一一尽收囊中。《梦断婺江》当年曾入围文华大奖，由于种种原因，被降下一个档次，屈居文华优秀剧目奖之列（当时的文华奖分为大奖和优秀剧目奖两个档次，后来取消了优秀剧目奖，只设文华大奖，而本届又将文华大奖改称文华剧目奖，是为最高奖）。因此夺取国家舞台艺术最高奖成为浙江婺剧艺术研究院多年追逐的梦想。今天，姜朝皋为他们编创的第九部大戏《三打白骨精》终于使美梦成真，并且一剧名震中外。</w:t>
      </w:r>
    </w:p>
    <w:p w14:paraId="0C9AEBA8">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为了创作这部戏，王晓平院长三番邀约、等候两年，姜朝皋才动笔创作。因为相同题材的剧目，不少剧种都演过，而且有珠玉在前，如何做到不雷同、不撞车，并能创新超越、后来居上，这对编剧和整个团队都是最大的挑战，也是最艰难的突破。</w:t>
      </w:r>
    </w:p>
    <w:p w14:paraId="0A8C3BF9">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历经两个月的呕心沥血，姜朝皋交出了剧本。王晓平院长立即组织以翁国生为导演的二度主创团队，对剧本进行研读后投排。翁导是京昆大武生出身的导演，28岁时即以孙悟空的艺术形象夺得中国戏剧梅花奖。王晓平院长慧眼识珠，请翁国生来执导此剧，可谓最佳人选。编导强强联手，加上陈美兰新剧目创作团队人才济济，全体演员个个身手非凡，大家凝心聚力，终于促成了这台震惊业内外剧目的诞生。</w:t>
      </w:r>
    </w:p>
    <w:p w14:paraId="480FB7A4">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该剧2023年3月首演，在中国婺剧院连演九场，场场爆满，观众反应十分强烈，在没有做宣传推广的前提下，口口相传，一时名声大振。在接下来的两年半中，又经七次修改，常演常新。直到奔赴成都参赛前夕，编、导、演等合力，利用国庆假期，对全剧又做了一次全面提升，以最佳面目呈现于艺术节的舞台上。今年10月17日、18日两晚，在成都2000多个座位的东安湖大剧院连演两场，座无虚席，叫好声、掌声几分钟就爆发一次，到最后剧终谢幕时，全场的喝彩声更是震穿屋瓦、经久不息。迄今为止，该剧已演出130余场、出访25个国家，线下线上观演人次500余万，全网点击量超1亿次。所到之处，开票几分钟便抢购一空，全国各地千里奔赴赶来看戏的人络绎不绝，有人跟踪追看7场还不肯罢休。</w:t>
      </w:r>
    </w:p>
    <w:p w14:paraId="46B33C8E">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婺剧《三打白骨精》彻底打破了戏剧观众层次的壁垒，无论男女老少、城市乡村、国内国外，人人爱看，除了艺术精湛之外，其深刻的思想内涵也让受众共情。剧中所弘扬的扬正义、除邪恶的宗旨是人类共同的愿景，而孙悟空那种不畏强暴、愈挫愈勇的斗争精神更是中国人民顽强不息、忠诚担当精神的生动写照。</w:t>
      </w:r>
    </w:p>
    <w:p w14:paraId="0FB49B90">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人民日报》于9月23日和10月21日两次刊文高度评价婺剧《三打白骨精》，称“作为现象级的作品，该剧既印证了传统戏曲的强大生命力，也展现了‘守传统之魂、创时代之形’的路径可能性，给中国戏曲的活态传承与现代化转型带来重要启示”。《中国文化报》则用专版进行报道，《中国艺术报》更用醒目标题称婺剧《三打白骨精》“既是现象，更是方向”。</w:t>
      </w:r>
    </w:p>
    <w:p w14:paraId="6FE02BA3">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第十四届中国艺术节圆满落幕了，《三打白骨精》剧组载誉凯旋。然而曲终人散，余音绕梁，《三打白骨精》的口碑在社交媒体持续发酵，影响愈来愈广，国内外邀约络绎不绝、应接不暇，创造了几十年来中国戏剧的奇迹。</w:t>
      </w:r>
    </w:p>
    <w:p w14:paraId="625D23EB">
      <w:pPr>
        <w:keepNext w:val="0"/>
        <w:keepLines w:val="0"/>
        <w:pageBreakBefore w:val="0"/>
        <w:kinsoku/>
        <w:wordWrap/>
        <w:overflowPunct/>
        <w:topLinePunct w:val="0"/>
        <w:autoSpaceDE/>
        <w:autoSpaceDN/>
        <w:bidi w:val="0"/>
        <w:adjustRightInd/>
        <w:spacing w:line="560" w:lineRule="exact"/>
        <w:ind w:firstLine="556" w:firstLineChars="200"/>
        <w:textAlignment w:val="auto"/>
        <w:rPr>
          <w:rFonts w:hint="eastAsia" w:ascii="仿宋" w:hAnsi="仿宋" w:eastAsia="仿宋" w:cs="仿宋"/>
          <w:sz w:val="28"/>
          <w:szCs w:val="28"/>
          <w:lang w:eastAsia="zh-CN"/>
        </w:rPr>
      </w:pPr>
      <w:bookmarkStart w:id="0" w:name="_GoBack"/>
      <w:bookmarkEnd w:id="0"/>
      <w:r>
        <w:rPr>
          <w:rFonts w:hint="eastAsia" w:ascii="仿宋" w:hAnsi="仿宋" w:eastAsia="仿宋" w:cs="仿宋"/>
          <w:sz w:val="28"/>
          <w:szCs w:val="28"/>
        </w:rPr>
        <w:t>祝贺婺剧《三打白骨精》！祝贺一剧之本的编剧姜朝皋老师！愿姜老师以胸中丘壑再造高峰，为鹰潭、为中华文化再作贡献。</w:t>
      </w:r>
    </w:p>
    <w:sectPr>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华文仿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39"/>
  <w:drawingGridVerticalSpacing w:val="205"/>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MTJiNThlZjQ3NzQxNWJmMjFkMTgzYjE0ZjEwMTUifQ=="/>
  </w:docVars>
  <w:rsids>
    <w:rsidRoot w:val="00926BC2"/>
    <w:rsid w:val="00003DD9"/>
    <w:rsid w:val="000305E6"/>
    <w:rsid w:val="000C3809"/>
    <w:rsid w:val="000C68FB"/>
    <w:rsid w:val="000E643B"/>
    <w:rsid w:val="00123704"/>
    <w:rsid w:val="00133337"/>
    <w:rsid w:val="00133BCD"/>
    <w:rsid w:val="001421C1"/>
    <w:rsid w:val="001440A6"/>
    <w:rsid w:val="00144DF0"/>
    <w:rsid w:val="0019242E"/>
    <w:rsid w:val="001D0E22"/>
    <w:rsid w:val="002001CC"/>
    <w:rsid w:val="00223BBC"/>
    <w:rsid w:val="0024458D"/>
    <w:rsid w:val="002606C4"/>
    <w:rsid w:val="0026283A"/>
    <w:rsid w:val="002E0AD9"/>
    <w:rsid w:val="003371B0"/>
    <w:rsid w:val="0034035D"/>
    <w:rsid w:val="00346993"/>
    <w:rsid w:val="00365323"/>
    <w:rsid w:val="00367921"/>
    <w:rsid w:val="00395F8B"/>
    <w:rsid w:val="003A7D88"/>
    <w:rsid w:val="003B19AA"/>
    <w:rsid w:val="00403B28"/>
    <w:rsid w:val="00433816"/>
    <w:rsid w:val="00441C13"/>
    <w:rsid w:val="004C1ED1"/>
    <w:rsid w:val="004C3515"/>
    <w:rsid w:val="004F21DB"/>
    <w:rsid w:val="00517997"/>
    <w:rsid w:val="00534FCA"/>
    <w:rsid w:val="0054736E"/>
    <w:rsid w:val="0056711F"/>
    <w:rsid w:val="005937B0"/>
    <w:rsid w:val="005D1989"/>
    <w:rsid w:val="005D49D3"/>
    <w:rsid w:val="0064022F"/>
    <w:rsid w:val="0064261E"/>
    <w:rsid w:val="006933E8"/>
    <w:rsid w:val="006B0AE1"/>
    <w:rsid w:val="007050B1"/>
    <w:rsid w:val="007073E0"/>
    <w:rsid w:val="0074332E"/>
    <w:rsid w:val="00775798"/>
    <w:rsid w:val="0079161A"/>
    <w:rsid w:val="007C77C7"/>
    <w:rsid w:val="008935AB"/>
    <w:rsid w:val="008C03FE"/>
    <w:rsid w:val="00926BC2"/>
    <w:rsid w:val="00926E57"/>
    <w:rsid w:val="009367BD"/>
    <w:rsid w:val="009677C3"/>
    <w:rsid w:val="009A23C7"/>
    <w:rsid w:val="009D6149"/>
    <w:rsid w:val="009F3058"/>
    <w:rsid w:val="00A710FD"/>
    <w:rsid w:val="00AC1BA9"/>
    <w:rsid w:val="00AC5FC0"/>
    <w:rsid w:val="00AF5725"/>
    <w:rsid w:val="00B168B6"/>
    <w:rsid w:val="00B30C0D"/>
    <w:rsid w:val="00BA51D5"/>
    <w:rsid w:val="00BA609F"/>
    <w:rsid w:val="00BB3A4F"/>
    <w:rsid w:val="00BB6173"/>
    <w:rsid w:val="00BD5D7F"/>
    <w:rsid w:val="00BE5B19"/>
    <w:rsid w:val="00C05584"/>
    <w:rsid w:val="00C55055"/>
    <w:rsid w:val="00C738E3"/>
    <w:rsid w:val="00C86CF1"/>
    <w:rsid w:val="00D64361"/>
    <w:rsid w:val="00D67E4E"/>
    <w:rsid w:val="00D90026"/>
    <w:rsid w:val="00D978B7"/>
    <w:rsid w:val="00D97A32"/>
    <w:rsid w:val="00DA19CA"/>
    <w:rsid w:val="00DB7EB4"/>
    <w:rsid w:val="00E115C5"/>
    <w:rsid w:val="00E15627"/>
    <w:rsid w:val="00E2305B"/>
    <w:rsid w:val="00E807F5"/>
    <w:rsid w:val="00E82F0E"/>
    <w:rsid w:val="00EA235C"/>
    <w:rsid w:val="00EA4751"/>
    <w:rsid w:val="00EA5207"/>
    <w:rsid w:val="00EC1A77"/>
    <w:rsid w:val="00EE467F"/>
    <w:rsid w:val="00EF36AF"/>
    <w:rsid w:val="00F23A0A"/>
    <w:rsid w:val="00F52080"/>
    <w:rsid w:val="00F537D4"/>
    <w:rsid w:val="00F542F7"/>
    <w:rsid w:val="00F56869"/>
    <w:rsid w:val="00F82FC3"/>
    <w:rsid w:val="00F94E52"/>
    <w:rsid w:val="00FA0BC0"/>
    <w:rsid w:val="00FC2EEE"/>
    <w:rsid w:val="00FD48DE"/>
    <w:rsid w:val="00FD7C8E"/>
    <w:rsid w:val="00FF0F1A"/>
    <w:rsid w:val="00FF76E5"/>
    <w:rsid w:val="019F1377"/>
    <w:rsid w:val="04C14C17"/>
    <w:rsid w:val="0CBD0903"/>
    <w:rsid w:val="0D0B583A"/>
    <w:rsid w:val="0DE545B5"/>
    <w:rsid w:val="10B33292"/>
    <w:rsid w:val="14F325EF"/>
    <w:rsid w:val="1C161DDD"/>
    <w:rsid w:val="2001740F"/>
    <w:rsid w:val="21CF315A"/>
    <w:rsid w:val="28185CCE"/>
    <w:rsid w:val="296C74E1"/>
    <w:rsid w:val="34164FDE"/>
    <w:rsid w:val="344A48C2"/>
    <w:rsid w:val="424741EF"/>
    <w:rsid w:val="503E30D6"/>
    <w:rsid w:val="545F361A"/>
    <w:rsid w:val="57B77611"/>
    <w:rsid w:val="5B6A33F8"/>
    <w:rsid w:val="5E3B6C89"/>
    <w:rsid w:val="5E95027E"/>
    <w:rsid w:val="602B3E84"/>
    <w:rsid w:val="6098413C"/>
    <w:rsid w:val="62883792"/>
    <w:rsid w:val="63761A03"/>
    <w:rsid w:val="65EB5843"/>
    <w:rsid w:val="68EB3277"/>
    <w:rsid w:val="6D1D3471"/>
    <w:rsid w:val="715673E9"/>
    <w:rsid w:val="7718792D"/>
    <w:rsid w:val="7A451425"/>
    <w:rsid w:val="9C75ACA9"/>
    <w:rsid w:val="B37B48F5"/>
    <w:rsid w:val="FFF75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8"/>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jc w:val="left"/>
    </w:pPr>
    <w:rPr>
      <w:rFonts w:ascii="Arial" w:hAnsi="Arial" w:cs="Arial"/>
    </w:rPr>
  </w:style>
  <w:style w:type="paragraph" w:styleId="3">
    <w:name w:val="Body Text First Indent"/>
    <w:basedOn w:val="2"/>
    <w:next w:val="4"/>
    <w:qFormat/>
    <w:uiPriority w:val="0"/>
    <w:pPr>
      <w:ind w:firstLine="420" w:firstLineChars="100"/>
    </w:pPr>
  </w:style>
  <w:style w:type="paragraph" w:styleId="4">
    <w:name w:val="footer"/>
    <w:basedOn w:val="1"/>
    <w:next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3653</Words>
  <Characters>3897</Characters>
  <Lines>64</Lines>
  <Paragraphs>76</Paragraphs>
  <TotalTime>6</TotalTime>
  <ScaleCrop>false</ScaleCrop>
  <LinksUpToDate>false</LinksUpToDate>
  <CharactersWithSpaces>4024</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2024-01-22T15:11:00Z</dcterms:created>
  <dc:creator>听 林</dc:creator>
  <cp:lastModifiedBy>牧风</cp:lastModifiedBy>
  <cp:lastPrinted>2025-01-16T16:31:00Z</cp:lastPrinted>
  <dcterms:modified xsi:type="dcterms:W3CDTF">2026-01-17T23:13:19Z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eyJoZGlkIjoiMGQ1NzBhNzEzMzI3N2ZjOWU0YmEwZDk5NmZkMTkyYTMiLCJ1c2VySWQiOiIzMDc2NzE1OTcifQ==</vt:lpwstr>
  </property>
  <property fmtid="{D5CDD505-2E9C-101B-9397-08002B2CF9AE}" pid="3" name="KSOProductBuildVer">
    <vt:lpwstr>2052-12.8.2.1115</vt:lpwstr>
  </property>
  <property fmtid="{D5CDD505-2E9C-101B-9397-08002B2CF9AE}" pid="4" name="ICV">
    <vt:lpwstr>3B1723471200489E9C441EC174423CF3_13</vt:lpwstr>
  </property>
</Properties>
</file>